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C1A" w:rsidRPr="00212856" w:rsidRDefault="003F3C1A" w:rsidP="003F3C1A">
      <w:pPr>
        <w:pStyle w:val="NormaleWeb"/>
        <w:rPr>
          <w:rFonts w:asciiTheme="minorHAnsi" w:hAnsiTheme="minorHAnsi" w:cstheme="minorHAnsi"/>
          <w:color w:val="000000"/>
          <w:sz w:val="21"/>
          <w:szCs w:val="21"/>
          <w:lang w:val="en-US"/>
        </w:rPr>
      </w:pPr>
      <w:r w:rsidRPr="00212856">
        <w:rPr>
          <w:rFonts w:asciiTheme="minorHAnsi" w:hAnsiTheme="minorHAnsi" w:cstheme="minorHAnsi"/>
          <w:sz w:val="30"/>
          <w:szCs w:val="30"/>
          <w:lang w:val="en-US"/>
        </w:rPr>
        <w:t>Brussels Privacy Hub Privacy and Data Protection Doctoral Seminars</w:t>
      </w:r>
    </w:p>
    <w:p w:rsidR="003F3C1A" w:rsidRPr="00212856" w:rsidRDefault="003F3C1A" w:rsidP="003F3C1A">
      <w:pPr>
        <w:pStyle w:val="NormaleWeb"/>
        <w:rPr>
          <w:rFonts w:asciiTheme="minorHAnsi" w:hAnsiTheme="minorHAnsi" w:cstheme="minorHAnsi"/>
          <w:color w:val="000000"/>
          <w:sz w:val="24"/>
          <w:szCs w:val="24"/>
          <w:lang w:val="en-US"/>
        </w:rPr>
      </w:pPr>
    </w:p>
    <w:p w:rsidR="003F3C1A" w:rsidRPr="00212856" w:rsidRDefault="003F3C1A" w:rsidP="003F3C1A">
      <w:pPr>
        <w:pStyle w:val="NormaleWeb"/>
        <w:rPr>
          <w:rFonts w:asciiTheme="minorHAnsi" w:hAnsiTheme="minorHAnsi" w:cstheme="minorHAnsi"/>
          <w:b/>
          <w:bCs/>
          <w:color w:val="000000"/>
          <w:sz w:val="24"/>
          <w:szCs w:val="24"/>
          <w:lang w:val="en-US"/>
        </w:rPr>
      </w:pPr>
      <w:r w:rsidRPr="00212856">
        <w:rPr>
          <w:rFonts w:asciiTheme="minorHAnsi" w:hAnsiTheme="minorHAnsi" w:cstheme="minorHAnsi"/>
          <w:b/>
          <w:bCs/>
          <w:color w:val="000000"/>
          <w:sz w:val="24"/>
          <w:szCs w:val="24"/>
          <w:lang w:val="en-US"/>
        </w:rPr>
        <w:t>Misaligned Union laws? A comparative analysis of private law instruments in the Cybersecurity Act and the General Data Protection Regulation </w:t>
      </w:r>
    </w:p>
    <w:p w:rsidR="003F3C1A" w:rsidRPr="00212856" w:rsidRDefault="003F3C1A" w:rsidP="003F3C1A">
      <w:pPr>
        <w:pStyle w:val="NormaleWeb"/>
        <w:rPr>
          <w:rFonts w:asciiTheme="minorHAnsi" w:hAnsiTheme="minorHAnsi" w:cstheme="minorHAnsi"/>
          <w:color w:val="000000"/>
          <w:sz w:val="21"/>
          <w:szCs w:val="21"/>
          <w:lang w:val="en-US"/>
        </w:rPr>
      </w:pPr>
    </w:p>
    <w:p w:rsidR="003F3C1A" w:rsidRPr="00212856" w:rsidRDefault="003F3C1A" w:rsidP="003F3C1A">
      <w:pPr>
        <w:pStyle w:val="NormaleWeb"/>
        <w:rPr>
          <w:rFonts w:asciiTheme="minorHAnsi" w:hAnsiTheme="minorHAnsi" w:cstheme="minorHAnsi"/>
          <w:lang w:val="en-US"/>
        </w:rPr>
      </w:pPr>
      <w:r w:rsidRPr="00212856">
        <w:rPr>
          <w:rFonts w:asciiTheme="minorHAnsi" w:hAnsiTheme="minorHAnsi" w:cstheme="minorHAnsi"/>
          <w:color w:val="000000"/>
          <w:lang w:val="en-US"/>
        </w:rPr>
        <w:t>By Irene Kamara</w:t>
      </w:r>
    </w:p>
    <w:p w:rsidR="003F3C1A" w:rsidRPr="00212856" w:rsidRDefault="003F3C1A" w:rsidP="003F3C1A">
      <w:pPr>
        <w:pStyle w:val="NormaleWeb"/>
        <w:rPr>
          <w:rFonts w:asciiTheme="minorHAnsi" w:hAnsiTheme="minorHAnsi" w:cstheme="minorHAnsi"/>
          <w:color w:val="000000"/>
          <w:sz w:val="16"/>
          <w:szCs w:val="16"/>
          <w:lang w:val="en-US"/>
        </w:rPr>
      </w:pPr>
    </w:p>
    <w:p w:rsidR="003F3C1A" w:rsidRPr="00212856" w:rsidRDefault="003F3C1A" w:rsidP="003F3C1A">
      <w:pPr>
        <w:pStyle w:val="NormaleWeb"/>
        <w:rPr>
          <w:rFonts w:asciiTheme="minorHAnsi" w:hAnsiTheme="minorHAnsi" w:cstheme="minorHAnsi"/>
          <w:color w:val="000000"/>
          <w:lang w:val="en-US"/>
        </w:rPr>
      </w:pPr>
      <w:r w:rsidRPr="00212856">
        <w:rPr>
          <w:rFonts w:asciiTheme="minorHAnsi" w:hAnsiTheme="minorHAnsi" w:cstheme="minorHAnsi"/>
          <w:color w:val="000000"/>
          <w:lang w:val="en-US"/>
        </w:rPr>
        <w:t>In 2019, the Cybersecurity Act, the EU law aiming at achieving high level of cybersecurity in the Union and Member Sta</w:t>
      </w:r>
      <w:bookmarkStart w:id="0" w:name="_GoBack"/>
      <w:bookmarkEnd w:id="0"/>
      <w:r w:rsidRPr="00212856">
        <w:rPr>
          <w:rFonts w:asciiTheme="minorHAnsi" w:hAnsiTheme="minorHAnsi" w:cstheme="minorHAnsi"/>
          <w:color w:val="000000"/>
          <w:lang w:val="en-US"/>
        </w:rPr>
        <w:t xml:space="preserve">tes, entered into force. The Cybersecurity Act belongs to a broader set of Union laws providing a framework of legal protection of individual and collective rights vis a vis the use of information in relation to information communication technologies. Despite the overarching similarities of the regulated fields, the Union legislator adopted seemingly different approaches in introducing those instruments. The presentation seeks to provide an understanding of the legislative choices and the normative, implementation and policy reasons underpinning them, by comparatively presenting the </w:t>
      </w:r>
      <w:proofErr w:type="spellStart"/>
      <w:r w:rsidRPr="00212856">
        <w:rPr>
          <w:rFonts w:asciiTheme="minorHAnsi" w:hAnsiTheme="minorHAnsi" w:cstheme="minorHAnsi"/>
          <w:color w:val="000000"/>
          <w:lang w:val="en-US"/>
        </w:rPr>
        <w:t>standardisation</w:t>
      </w:r>
      <w:proofErr w:type="spellEnd"/>
      <w:r w:rsidRPr="00212856">
        <w:rPr>
          <w:rFonts w:asciiTheme="minorHAnsi" w:hAnsiTheme="minorHAnsi" w:cstheme="minorHAnsi"/>
          <w:color w:val="000000"/>
          <w:lang w:val="en-US"/>
        </w:rPr>
        <w:t xml:space="preserve"> and certification frameworks as introduced in the Cybersecurity Act and the General Protection Regulation.</w:t>
      </w:r>
    </w:p>
    <w:p w:rsidR="003F3C1A" w:rsidRPr="00212856" w:rsidRDefault="003F3C1A" w:rsidP="003F3C1A">
      <w:pPr>
        <w:rPr>
          <w:rFonts w:asciiTheme="minorHAnsi" w:eastAsia="Times New Roman" w:hAnsiTheme="minorHAnsi" w:cstheme="minorHAnsi"/>
          <w:lang w:val="en-US"/>
        </w:rPr>
      </w:pPr>
    </w:p>
    <w:p w:rsidR="00E31B43" w:rsidRPr="003F3C1A" w:rsidRDefault="00E31B43">
      <w:pPr>
        <w:rPr>
          <w:lang w:val="en-US"/>
        </w:rPr>
      </w:pPr>
    </w:p>
    <w:sectPr w:rsidR="00E31B43" w:rsidRPr="003F3C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1A"/>
    <w:rsid w:val="00212856"/>
    <w:rsid w:val="003F3C1A"/>
    <w:rsid w:val="00E31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9A01"/>
  <w15:chartTrackingRefBased/>
  <w15:docId w15:val="{B22A81EF-BF3A-47D4-A495-CC3BAD44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F3C1A"/>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F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Calvi</dc:creator>
  <cp:keywords/>
  <dc:description/>
  <cp:lastModifiedBy>Alessandra Calvi</cp:lastModifiedBy>
  <cp:revision>2</cp:revision>
  <dcterms:created xsi:type="dcterms:W3CDTF">2020-05-27T09:19:00Z</dcterms:created>
  <dcterms:modified xsi:type="dcterms:W3CDTF">2020-05-27T09:21:00Z</dcterms:modified>
</cp:coreProperties>
</file>